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38" w:rsidRDefault="001D29E5" w:rsidP="00016838">
      <w:pPr>
        <w:spacing w:line="276" w:lineRule="auto"/>
        <w:rPr>
          <w:b/>
          <w:bCs/>
          <w:sz w:val="28"/>
          <w:szCs w:val="28"/>
          <w:lang w:val="bg-BG"/>
        </w:rPr>
      </w:pPr>
      <w:r w:rsidRPr="0010068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66BAACC" wp14:editId="6B8417EB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91" w:rsidRPr="00D52591">
        <w:rPr>
          <w:b/>
          <w:bCs/>
          <w:sz w:val="28"/>
          <w:szCs w:val="28"/>
          <w:lang w:val="bg-BG"/>
        </w:rPr>
        <w:t>Помощ при бедствия – сила, щедрост и лидерство!</w:t>
      </w:r>
      <w:r w:rsidR="00016838" w:rsidRPr="00016838">
        <w:rPr>
          <w:b/>
          <w:bCs/>
          <w:sz w:val="28"/>
          <w:szCs w:val="28"/>
          <w:lang w:val="bg-BG"/>
        </w:rPr>
        <w:t xml:space="preserve"> </w:t>
      </w:r>
    </w:p>
    <w:p w:rsidR="001D29E5" w:rsidRPr="009C05E6" w:rsidRDefault="001D29E5" w:rsidP="00867E33">
      <w:pPr>
        <w:spacing w:line="276" w:lineRule="auto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D52591">
        <w:rPr>
          <w:lang w:val="bg-BG"/>
        </w:rPr>
        <w:t>8</w:t>
      </w:r>
      <w:r w:rsidR="00D52591">
        <w:rPr>
          <w:vertAlign w:val="superscript"/>
          <w:lang w:val="bg-BG"/>
        </w:rPr>
        <w:t>м</w:t>
      </w:r>
      <w:r w:rsidRPr="00A96BA4">
        <w:rPr>
          <w:vertAlign w:val="superscript"/>
          <w:lang w:val="bg-BG"/>
        </w:rPr>
        <w:t>и</w:t>
      </w:r>
    </w:p>
    <w:p w:rsidR="00867E33" w:rsidRPr="00867E33" w:rsidRDefault="007E1A4B" w:rsidP="00867E33">
      <w:pPr>
        <w:jc w:val="both"/>
        <w:rPr>
          <w:b/>
          <w:i/>
          <w:lang w:val="bg-BG"/>
        </w:rPr>
      </w:pPr>
      <w:r w:rsidRPr="007E1A4B">
        <w:rPr>
          <w:b/>
          <w:i/>
          <w:lang w:val="bg-BG"/>
        </w:rPr>
        <w:t xml:space="preserve">Учениците ще изследват проблеми, породени от природно бедствие и ще дават примери за помощта, оказана в опит да се помогне на </w:t>
      </w:r>
      <w:r>
        <w:rPr>
          <w:b/>
          <w:i/>
          <w:lang w:val="bg-BG"/>
        </w:rPr>
        <w:t>пострадалите</w:t>
      </w:r>
      <w:r w:rsidRPr="007E1A4B">
        <w:rPr>
          <w:b/>
          <w:i/>
          <w:lang w:val="bg-BG"/>
        </w:rPr>
        <w:t>. Те ще изследват ролята на различните сектори в посрещането на потребностите при бедствия. Учениците ще се запознаят с кампания по набирането на вещи и/или организации, за които те могат да допринесат с благотворителна дейност при нужда.</w:t>
      </w:r>
      <w:r w:rsidR="00867E33" w:rsidRPr="00867E33">
        <w:rPr>
          <w:b/>
          <w:i/>
          <w:lang w:val="bg-BG"/>
        </w:rPr>
        <w:t> </w:t>
      </w:r>
    </w:p>
    <w:p w:rsidR="00867E33" w:rsidRDefault="00867E33" w:rsidP="009C05E6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867E33">
        <w:rPr>
          <w:lang w:val="bg-BG"/>
        </w:rPr>
        <w:t>две</w:t>
      </w:r>
      <w:r w:rsidR="00EC1E73">
        <w:rPr>
          <w:lang w:val="bg-BG"/>
        </w:rPr>
        <w:t xml:space="preserve"> заняти</w:t>
      </w:r>
      <w:r w:rsidR="005A5025">
        <w:rPr>
          <w:lang w:val="bg-BG"/>
        </w:rPr>
        <w:t>я</w:t>
      </w:r>
      <w:r w:rsidR="009C05E6" w:rsidRPr="009C05E6">
        <w:rPr>
          <w:lang w:val="bg-BG"/>
        </w:rPr>
        <w:t xml:space="preserve"> </w:t>
      </w:r>
      <w:r w:rsidR="005A5025">
        <w:rPr>
          <w:lang w:val="bg-BG"/>
        </w:rPr>
        <w:t>по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Учениците:</w:t>
      </w:r>
    </w:p>
    <w:p w:rsidR="007E1A4B" w:rsidRPr="007E1A4B" w:rsidRDefault="007E1A4B" w:rsidP="007E1A4B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lang w:val="bg-BG"/>
        </w:rPr>
      </w:pPr>
      <w:r w:rsidRPr="007E1A4B">
        <w:rPr>
          <w:lang w:val="bg-BG"/>
        </w:rPr>
        <w:t xml:space="preserve">Да дадат определение на филантропията и връзката й </w:t>
      </w:r>
      <w:r w:rsidR="00540F0B">
        <w:rPr>
          <w:lang w:val="bg-BG"/>
        </w:rPr>
        <w:t xml:space="preserve">с </w:t>
      </w:r>
      <w:r w:rsidRPr="007E1A4B">
        <w:rPr>
          <w:lang w:val="bg-BG"/>
        </w:rPr>
        <w:t>различните сектори в обществото;</w:t>
      </w:r>
    </w:p>
    <w:p w:rsidR="00867E33" w:rsidRPr="007E1A4B" w:rsidRDefault="007E1A4B" w:rsidP="007E1A4B">
      <w:pPr>
        <w:pStyle w:val="ListParagraph"/>
        <w:numPr>
          <w:ilvl w:val="0"/>
          <w:numId w:val="10"/>
        </w:numPr>
        <w:spacing w:after="0" w:line="276" w:lineRule="auto"/>
        <w:rPr>
          <w:lang w:val="bg-BG"/>
        </w:rPr>
      </w:pPr>
      <w:r w:rsidRPr="007E1A4B">
        <w:rPr>
          <w:lang w:val="bg-BG"/>
        </w:rPr>
        <w:t xml:space="preserve">Да проучат </w:t>
      </w:r>
      <w:r w:rsidR="00540F0B">
        <w:rPr>
          <w:lang w:val="bg-BG"/>
        </w:rPr>
        <w:t>дарителските</w:t>
      </w:r>
      <w:r w:rsidRPr="007E1A4B">
        <w:rPr>
          <w:lang w:val="bg-BG"/>
        </w:rPr>
        <w:t xml:space="preserve"> организации, участващи в оказването на помощ след наводненията във Варна и Мизия през 2</w:t>
      </w:r>
      <w:r w:rsidRPr="007E1A4B">
        <w:t>014 г</w:t>
      </w:r>
      <w:r w:rsidR="00540F0B">
        <w:rPr>
          <w:lang w:val="bg-BG"/>
        </w:rPr>
        <w:t>.,</w:t>
      </w:r>
      <w:r w:rsidRPr="007E1A4B">
        <w:rPr>
          <w:lang w:val="bg-BG"/>
        </w:rPr>
        <w:t xml:space="preserve"> и опита в конкретните казуси;</w:t>
      </w:r>
    </w:p>
    <w:p w:rsidR="00867E33" w:rsidRPr="007E1A4B" w:rsidRDefault="00867E33" w:rsidP="00540F0B">
      <w:pPr>
        <w:spacing w:after="0"/>
        <w:jc w:val="both"/>
        <w:rPr>
          <w:b/>
          <w:lang w:val="bg-BG"/>
        </w:rPr>
      </w:pPr>
    </w:p>
    <w:p w:rsidR="00867E33" w:rsidRDefault="00867E33" w:rsidP="00867E33">
      <w:pPr>
        <w:jc w:val="both"/>
        <w:rPr>
          <w:b/>
          <w:lang w:val="bg-BG"/>
        </w:rPr>
      </w:pPr>
      <w:r w:rsidRPr="00867E33">
        <w:rPr>
          <w:b/>
          <w:lang w:val="bg-BG"/>
        </w:rPr>
        <w:t>Очаквани резултати</w:t>
      </w:r>
      <w:r>
        <w:rPr>
          <w:b/>
          <w:lang w:val="bg-BG"/>
        </w:rPr>
        <w:t>:</w:t>
      </w:r>
    </w:p>
    <w:p w:rsidR="007E1A4B" w:rsidRPr="009C05E6" w:rsidRDefault="007E1A4B" w:rsidP="007E1A4B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</w:t>
      </w:r>
      <w:r>
        <w:rPr>
          <w:i/>
          <w:lang w:val="bg-BG"/>
        </w:rPr>
        <w:t xml:space="preserve"> ще</w:t>
      </w:r>
      <w:r w:rsidRPr="009C05E6">
        <w:rPr>
          <w:i/>
          <w:lang w:val="bg-BG"/>
        </w:rPr>
        <w:t>:</w:t>
      </w:r>
    </w:p>
    <w:p w:rsidR="007E1A4B" w:rsidRDefault="007E1A4B" w:rsidP="007E1A4B">
      <w:pPr>
        <w:numPr>
          <w:ilvl w:val="0"/>
          <w:numId w:val="15"/>
        </w:numPr>
        <w:spacing w:after="0" w:line="276" w:lineRule="auto"/>
        <w:rPr>
          <w:lang w:val="bg-BG"/>
        </w:rPr>
      </w:pPr>
      <w:r w:rsidRPr="007E1A4B">
        <w:rPr>
          <w:lang w:val="bg-BG"/>
        </w:rPr>
        <w:t xml:space="preserve">Имат ясна представа как работят различните сектори при бедствия и каква е ролята на всеки от тях; </w:t>
      </w:r>
    </w:p>
    <w:p w:rsidR="00867E33" w:rsidRPr="007E1A4B" w:rsidRDefault="007E1A4B" w:rsidP="007E1A4B">
      <w:pPr>
        <w:numPr>
          <w:ilvl w:val="0"/>
          <w:numId w:val="15"/>
        </w:numPr>
        <w:spacing w:after="0" w:line="276" w:lineRule="auto"/>
        <w:rPr>
          <w:lang w:val="bg-BG"/>
        </w:rPr>
      </w:pPr>
      <w:r w:rsidRPr="007E1A4B">
        <w:rPr>
          <w:lang w:val="bg-BG"/>
        </w:rPr>
        <w:t>Могат да дадат конкретни примери на действащи организации при бедствия</w:t>
      </w:r>
      <w:r w:rsidR="00540F0B">
        <w:rPr>
          <w:lang w:val="bg-BG"/>
        </w:rPr>
        <w:t>.</w:t>
      </w:r>
    </w:p>
    <w:p w:rsidR="007E1A4B" w:rsidRDefault="007E1A4B" w:rsidP="001D29E5">
      <w:pPr>
        <w:jc w:val="both"/>
        <w:rPr>
          <w:b/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7E1A4B" w:rsidRPr="007E1A4B" w:rsidRDefault="007E1A4B" w:rsidP="007E1A4B">
      <w:pPr>
        <w:pStyle w:val="ListParagraph"/>
        <w:numPr>
          <w:ilvl w:val="0"/>
          <w:numId w:val="17"/>
        </w:numPr>
        <w:rPr>
          <w:lang w:val="bg-BG"/>
        </w:rPr>
      </w:pPr>
      <w:r w:rsidRPr="007E1A4B">
        <w:rPr>
          <w:lang w:val="bg-BG"/>
        </w:rPr>
        <w:t>Приложение 1</w:t>
      </w:r>
      <w:r w:rsidR="00540F0B">
        <w:rPr>
          <w:lang w:val="bg-BG"/>
        </w:rPr>
        <w:t>:</w:t>
      </w:r>
      <w:r w:rsidRPr="007E1A4B">
        <w:rPr>
          <w:lang w:val="bg-BG"/>
        </w:rPr>
        <w:t xml:space="preserve"> Секторите</w:t>
      </w:r>
      <w:r w:rsidR="00540F0B">
        <w:rPr>
          <w:lang w:val="bg-BG"/>
        </w:rPr>
        <w:t xml:space="preserve"> в обществото</w:t>
      </w:r>
      <w:r w:rsidRPr="007E1A4B">
        <w:rPr>
          <w:lang w:val="bg-BG"/>
        </w:rPr>
        <w:t xml:space="preserve">; </w:t>
      </w:r>
    </w:p>
    <w:p w:rsidR="007E1A4B" w:rsidRPr="007E1A4B" w:rsidRDefault="007E1A4B" w:rsidP="007E1A4B">
      <w:pPr>
        <w:pStyle w:val="ListParagraph"/>
        <w:numPr>
          <w:ilvl w:val="0"/>
          <w:numId w:val="17"/>
        </w:numPr>
        <w:rPr>
          <w:lang w:val="bg-BG"/>
        </w:rPr>
      </w:pPr>
      <w:r w:rsidRPr="007E1A4B">
        <w:rPr>
          <w:lang w:val="bg-BG"/>
        </w:rPr>
        <w:t>Приложение 2</w:t>
      </w:r>
      <w:r w:rsidR="00540F0B">
        <w:rPr>
          <w:lang w:val="bg-BG"/>
        </w:rPr>
        <w:t xml:space="preserve">: </w:t>
      </w:r>
      <w:r w:rsidRPr="007E1A4B">
        <w:rPr>
          <w:lang w:val="bg-BG"/>
        </w:rPr>
        <w:t>Схема на секторите</w:t>
      </w:r>
      <w:r w:rsidR="00540F0B">
        <w:rPr>
          <w:lang w:val="bg-BG"/>
        </w:rPr>
        <w:t xml:space="preserve"> в обществото</w:t>
      </w:r>
      <w:r w:rsidRPr="007E1A4B">
        <w:rPr>
          <w:lang w:val="bg-BG"/>
        </w:rPr>
        <w:t>;</w:t>
      </w:r>
    </w:p>
    <w:p w:rsidR="00540F0B" w:rsidRDefault="007E1A4B" w:rsidP="007E1A4B">
      <w:pPr>
        <w:pStyle w:val="ListParagraph"/>
        <w:numPr>
          <w:ilvl w:val="0"/>
          <w:numId w:val="17"/>
        </w:numPr>
        <w:rPr>
          <w:lang w:val="bg-BG"/>
        </w:rPr>
      </w:pPr>
      <w:r w:rsidRPr="007E1A4B">
        <w:rPr>
          <w:lang w:val="bg-BG"/>
        </w:rPr>
        <w:t>Информационна страница на</w:t>
      </w:r>
      <w:r w:rsidR="00540F0B">
        <w:rPr>
          <w:lang w:val="bg-BG"/>
        </w:rPr>
        <w:t>:</w:t>
      </w:r>
    </w:p>
    <w:p w:rsidR="00540F0B" w:rsidRDefault="007E1A4B" w:rsidP="00540F0B">
      <w:pPr>
        <w:pStyle w:val="ListParagraph"/>
        <w:numPr>
          <w:ilvl w:val="1"/>
          <w:numId w:val="17"/>
        </w:numPr>
        <w:rPr>
          <w:lang w:val="bg-BG"/>
        </w:rPr>
      </w:pPr>
      <w:r w:rsidRPr="007E1A4B">
        <w:rPr>
          <w:lang w:val="bg-BG"/>
        </w:rPr>
        <w:t xml:space="preserve">Гражданска защита: </w:t>
      </w:r>
      <w:hyperlink r:id="rId9" w:history="1">
        <w:r w:rsidRPr="007E1A4B">
          <w:rPr>
            <w:rStyle w:val="Hyperlink"/>
            <w:lang w:val="bg-BG"/>
          </w:rPr>
          <w:t>http://pojarna.com/bg/sections/rabota_s_deca/obuchitelni_materiali/upravlenie_koordinaciq_i_kontrol_pri_bedstviq_pozhari_i_izvynredni_situacii</w:t>
        </w:r>
      </w:hyperlink>
      <w:r w:rsidRPr="007E1A4B">
        <w:rPr>
          <w:lang w:val="bg-BG"/>
        </w:rPr>
        <w:t xml:space="preserve"> </w:t>
      </w:r>
    </w:p>
    <w:p w:rsidR="00540F0B" w:rsidRDefault="007E1A4B" w:rsidP="00540F0B">
      <w:pPr>
        <w:pStyle w:val="ListParagraph"/>
        <w:numPr>
          <w:ilvl w:val="1"/>
          <w:numId w:val="17"/>
        </w:numPr>
        <w:rPr>
          <w:lang w:val="bg-BG"/>
        </w:rPr>
      </w:pPr>
      <w:r w:rsidRPr="00540F0B">
        <w:rPr>
          <w:lang w:val="bg-BG"/>
        </w:rPr>
        <w:t xml:space="preserve">Главна дирекция </w:t>
      </w:r>
      <w:r w:rsidR="00540F0B" w:rsidRPr="00540F0B">
        <w:rPr>
          <w:lang w:val="bg-BG"/>
        </w:rPr>
        <w:t>„П</w:t>
      </w:r>
      <w:r w:rsidRPr="00540F0B">
        <w:rPr>
          <w:lang w:val="bg-BG"/>
        </w:rPr>
        <w:t>ожарна безопасност и защита на населението</w:t>
      </w:r>
      <w:r w:rsidR="00540F0B" w:rsidRPr="00540F0B">
        <w:rPr>
          <w:lang w:val="bg-BG"/>
        </w:rPr>
        <w:t>“</w:t>
      </w:r>
      <w:r w:rsidRPr="00540F0B">
        <w:rPr>
          <w:lang w:val="bg-BG"/>
        </w:rPr>
        <w:t xml:space="preserve">: </w:t>
      </w:r>
      <w:hyperlink r:id="rId10" w:history="1">
        <w:r w:rsidRPr="00540F0B">
          <w:rPr>
            <w:rStyle w:val="Hyperlink"/>
            <w:lang w:val="bg-BG"/>
          </w:rPr>
          <w:t>http://www.nspbzn.mvr.bg/default.htm</w:t>
        </w:r>
      </w:hyperlink>
    </w:p>
    <w:p w:rsidR="007E1A4B" w:rsidRPr="00540F0B" w:rsidRDefault="00540F0B" w:rsidP="00540F0B">
      <w:pPr>
        <w:pStyle w:val="ListParagraph"/>
        <w:numPr>
          <w:ilvl w:val="1"/>
          <w:numId w:val="17"/>
        </w:numPr>
        <w:rPr>
          <w:lang w:val="bg-BG"/>
        </w:rPr>
      </w:pPr>
      <w:r w:rsidRPr="00540F0B">
        <w:rPr>
          <w:lang w:val="bg-BG"/>
        </w:rPr>
        <w:t>Български Ч</w:t>
      </w:r>
      <w:r w:rsidR="007E1A4B" w:rsidRPr="00540F0B">
        <w:rPr>
          <w:lang w:val="bg-BG"/>
        </w:rPr>
        <w:t xml:space="preserve">ервен кръст: </w:t>
      </w:r>
      <w:hyperlink r:id="rId11" w:history="1">
        <w:r w:rsidR="007E1A4B" w:rsidRPr="00540F0B">
          <w:rPr>
            <w:rStyle w:val="Hyperlink"/>
            <w:lang w:val="bg-BG"/>
          </w:rPr>
          <w:t>http://www.redcross.bg/index.html</w:t>
        </w:r>
      </w:hyperlink>
      <w:r w:rsidR="007E1A4B" w:rsidRPr="00540F0B">
        <w:rPr>
          <w:lang w:val="bg-BG"/>
        </w:rPr>
        <w:t xml:space="preserve"> 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1D29E5" w:rsidRDefault="001D29E5" w:rsidP="001D29E5">
      <w:pPr>
        <w:jc w:val="both"/>
        <w:rPr>
          <w:i/>
          <w:lang w:val="bg-BG"/>
        </w:rPr>
      </w:pPr>
      <w:r w:rsidRPr="009C05E6">
        <w:rPr>
          <w:i/>
          <w:lang w:val="bg-BG"/>
        </w:rPr>
        <w:t>Насочващи дейности:</w:t>
      </w:r>
    </w:p>
    <w:p w:rsidR="007E1A4B" w:rsidRPr="007E1A4B" w:rsidRDefault="007E1A4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lang w:val="bg-BG"/>
        </w:rPr>
      </w:pPr>
      <w:r w:rsidRPr="007E1A4B">
        <w:rPr>
          <w:rFonts w:eastAsia="Times New Roman" w:cs="Times New Roman"/>
          <w:lang w:val="bg-BG"/>
        </w:rPr>
        <w:t>Инструктирайте учениците</w:t>
      </w:r>
      <w:r w:rsidRPr="007E1A4B">
        <w:rPr>
          <w:rFonts w:eastAsia="Times New Roman" w:cs="Times New Roman"/>
        </w:rPr>
        <w:t xml:space="preserve"> </w:t>
      </w:r>
      <w:r w:rsidRPr="007E1A4B">
        <w:rPr>
          <w:rFonts w:eastAsia="Times New Roman" w:cs="Times New Roman"/>
          <w:lang w:val="bg-BG"/>
        </w:rPr>
        <w:t xml:space="preserve">да направят списък на всички места, които те (или семействата им) са посетили през последната седмица (училище, магазин, храм, спорт, у дома и др.) </w:t>
      </w:r>
      <w:r w:rsidRPr="007E1A4B">
        <w:rPr>
          <w:rFonts w:eastAsia="Times New Roman" w:cs="Times New Roman"/>
          <w:lang w:val="bg-BG"/>
        </w:rPr>
        <w:lastRenderedPageBreak/>
        <w:t xml:space="preserve">Дайте няколко минути на учениците да помислят и предложат </w:t>
      </w:r>
      <w:r w:rsidR="00540F0B">
        <w:rPr>
          <w:rFonts w:eastAsia="Times New Roman" w:cs="Times New Roman"/>
          <w:lang w:val="bg-BG"/>
        </w:rPr>
        <w:t xml:space="preserve">индивидуално </w:t>
      </w:r>
      <w:r w:rsidRPr="007E1A4B">
        <w:rPr>
          <w:rFonts w:eastAsia="Times New Roman" w:cs="Times New Roman"/>
          <w:lang w:val="bg-BG"/>
        </w:rPr>
        <w:t>идеи за списъка.</w:t>
      </w:r>
    </w:p>
    <w:p w:rsidR="007E1A4B" w:rsidRPr="007E1A4B" w:rsidRDefault="007E1A4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lang w:val="bg-BG"/>
        </w:rPr>
      </w:pPr>
      <w:r w:rsidRPr="007E1A4B">
        <w:rPr>
          <w:rFonts w:eastAsia="Times New Roman" w:cs="Times New Roman"/>
          <w:lang w:val="bg-BG"/>
        </w:rPr>
        <w:t xml:space="preserve">Нарисувайте таблица с четири колони, която класът да вижда (вж. за образец </w:t>
      </w:r>
      <w:r w:rsidRPr="00540F0B">
        <w:rPr>
          <w:rFonts w:eastAsia="Times New Roman" w:cs="Times New Roman"/>
          <w:b/>
          <w:lang w:val="bg-BG"/>
        </w:rPr>
        <w:t>Приложение 2</w:t>
      </w:r>
      <w:r w:rsidR="00540F0B" w:rsidRPr="00540F0B">
        <w:rPr>
          <w:rFonts w:eastAsia="Times New Roman" w:cs="Times New Roman"/>
          <w:b/>
          <w:lang w:val="bg-BG"/>
        </w:rPr>
        <w:t xml:space="preserve">: </w:t>
      </w:r>
      <w:r w:rsidRPr="00540F0B">
        <w:rPr>
          <w:rFonts w:eastAsia="Times New Roman" w:cs="Times New Roman"/>
          <w:b/>
          <w:lang w:val="bg-BG"/>
        </w:rPr>
        <w:t>Таблица на секторите</w:t>
      </w:r>
      <w:r w:rsidRPr="007E1A4B">
        <w:rPr>
          <w:rFonts w:eastAsia="Times New Roman" w:cs="Times New Roman"/>
          <w:lang w:val="bg-BG"/>
        </w:rPr>
        <w:t xml:space="preserve">). </w:t>
      </w:r>
      <w:r w:rsidR="00540F0B">
        <w:rPr>
          <w:rFonts w:eastAsia="Times New Roman" w:cs="Times New Roman"/>
          <w:lang w:val="bg-BG"/>
        </w:rPr>
        <w:t>В началото н</w:t>
      </w:r>
      <w:r w:rsidRPr="007E1A4B">
        <w:rPr>
          <w:rFonts w:eastAsia="Times New Roman" w:cs="Times New Roman"/>
          <w:lang w:val="bg-BG"/>
        </w:rPr>
        <w:t>е включвайте заглавията на отделните колони. Ще ги добавите в края на тази задача, когато правите обобщението и получите отговорите на децата. Помолете учениците да споделят някои от местата, които са набелязали</w:t>
      </w:r>
      <w:r w:rsidR="00540F0B">
        <w:rPr>
          <w:rFonts w:eastAsia="Times New Roman" w:cs="Times New Roman"/>
          <w:lang w:val="bg-BG"/>
        </w:rPr>
        <w:t>,</w:t>
      </w:r>
      <w:r w:rsidRPr="007E1A4B">
        <w:rPr>
          <w:rFonts w:eastAsia="Times New Roman" w:cs="Times New Roman"/>
          <w:lang w:val="bg-BG"/>
        </w:rPr>
        <w:t xml:space="preserve"> и ги запишете на дъската в съответната колона. Помолете ги да не повтарят неща, които вече са били казани. Запишете местата в четирите колони без да казвате на учениците за какво са отделните колони: в първата са държавните институции, във втората – компаниите със стопанска цел, в третата – организациите с нестопанска цел. Четвъртата колона е за домакинствата (у дома, баба и дядо). След като списъците са готови, помолете учениците да дадат предложения защо местата са разделени в тези четири групи. Можете да добавите примери към всяка колонка, за да помогнете за предложенията. В края на това упражнение поставете заглавието на категорията на всяка от колонките в таблицата. Уточнете, че семейството е добавено в таблицата, защото то е важна част от обществото.</w:t>
      </w:r>
    </w:p>
    <w:p w:rsidR="007E1A4B" w:rsidRPr="007E1A4B" w:rsidRDefault="007E1A4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i/>
          <w:lang w:val="bg-BG"/>
        </w:rPr>
      </w:pPr>
      <w:r w:rsidRPr="007E1A4B">
        <w:rPr>
          <w:rFonts w:eastAsia="Times New Roman" w:cs="Times New Roman"/>
          <w:lang w:val="bg-BG"/>
        </w:rPr>
        <w:t xml:space="preserve">Обсъдете с учениците приликите/разликите между сектора със стопанска цел, с нестопанска цел и държавните институции. Използвайте </w:t>
      </w:r>
      <w:r w:rsidRPr="00540F0B">
        <w:rPr>
          <w:rFonts w:eastAsia="Times New Roman" w:cs="Times New Roman"/>
          <w:b/>
          <w:lang w:val="bg-BG"/>
        </w:rPr>
        <w:t>Приложение 1</w:t>
      </w:r>
      <w:r w:rsidRPr="007E1A4B">
        <w:rPr>
          <w:rFonts w:eastAsia="Times New Roman" w:cs="Times New Roman"/>
          <w:lang w:val="bg-BG"/>
        </w:rPr>
        <w:t xml:space="preserve"> за насочване на обсъждането. Кажете на учениците, че трите сектора работят заедно за посрещане на потребностите в обществото и предоставят различни услуги. Много видове организации/компании могат да функционират в повече от един сектор. Така например държавното училище може да бъде с нестопанска цел, докато частно такова може да бъде със стопанска или с нестопанска цел. Дайте примери</w:t>
      </w:r>
      <w:r w:rsidR="00540F0B">
        <w:rPr>
          <w:rFonts w:eastAsia="Times New Roman" w:cs="Times New Roman"/>
          <w:lang w:val="bg-BG"/>
        </w:rPr>
        <w:t>,</w:t>
      </w:r>
      <w:r w:rsidRPr="007E1A4B">
        <w:rPr>
          <w:rFonts w:eastAsia="Times New Roman" w:cs="Times New Roman"/>
          <w:lang w:val="bg-BG"/>
        </w:rPr>
        <w:t xml:space="preserve"> ако </w:t>
      </w:r>
      <w:r w:rsidR="00540F0B">
        <w:rPr>
          <w:rFonts w:eastAsia="Times New Roman" w:cs="Times New Roman"/>
          <w:lang w:val="bg-BG"/>
        </w:rPr>
        <w:t>е приложимо</w:t>
      </w:r>
      <w:r w:rsidRPr="007E1A4B">
        <w:rPr>
          <w:rFonts w:eastAsia="Times New Roman" w:cs="Times New Roman"/>
          <w:lang w:val="bg-BG"/>
        </w:rPr>
        <w:t xml:space="preserve">. </w:t>
      </w:r>
    </w:p>
    <w:p w:rsidR="007E1A4B" w:rsidRPr="007E1A4B" w:rsidRDefault="007E1A4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i/>
          <w:lang w:val="bg-BG"/>
        </w:rPr>
      </w:pPr>
      <w:r w:rsidRPr="007E1A4B">
        <w:rPr>
          <w:rFonts w:eastAsia="Times New Roman" w:cs="Times New Roman"/>
          <w:lang w:val="bg-BG"/>
        </w:rPr>
        <w:t>Обсъдете с учениците, че след природно бедствие (като например наводнение или земетресение) много хора и организации искат да помогнат на засегнатите хора, претърп</w:t>
      </w:r>
      <w:r w:rsidR="00540F0B">
        <w:rPr>
          <w:rFonts w:eastAsia="Times New Roman" w:cs="Times New Roman"/>
          <w:lang w:val="bg-BG"/>
        </w:rPr>
        <w:t>е</w:t>
      </w:r>
      <w:r w:rsidRPr="007E1A4B">
        <w:rPr>
          <w:rFonts w:eastAsia="Times New Roman" w:cs="Times New Roman"/>
          <w:lang w:val="bg-BG"/>
        </w:rPr>
        <w:t>ли загуба на дома, близките си или други ресурси. Попитайте учениците какви потребности могат да имат хората, след като преживеят бедствие (отговорите биха били: подслон, храна, дрехи, вода, начин да се свържат с близките си, медицинска помощ).</w:t>
      </w:r>
    </w:p>
    <w:p w:rsidR="007E1A4B" w:rsidRPr="007E1A4B" w:rsidRDefault="007E1A4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i/>
          <w:lang w:val="bg-BG"/>
        </w:rPr>
      </w:pPr>
      <w:r w:rsidRPr="007E1A4B">
        <w:rPr>
          <w:rFonts w:eastAsia="Times New Roman" w:cs="Times New Roman"/>
          <w:lang w:val="bg-BG"/>
        </w:rPr>
        <w:t>Напишете термина „</w:t>
      </w:r>
      <w:r w:rsidRPr="007E1A4B">
        <w:rPr>
          <w:rFonts w:eastAsia="Times New Roman" w:cs="Times New Roman"/>
          <w:b/>
          <w:lang w:val="bg-BG"/>
        </w:rPr>
        <w:t>филантропия</w:t>
      </w:r>
      <w:r w:rsidRPr="007E1A4B">
        <w:rPr>
          <w:rFonts w:eastAsia="Times New Roman" w:cs="Times New Roman"/>
          <w:lang w:val="bg-BG"/>
        </w:rPr>
        <w:t>“ на дъската и дайте заедно с децата определение (споделяне на време, умения и средства и извършване на действия за общото благо). Помолете учениците да кажат как според тях представителите на различните сектори могат да споделят различни ресурси по време на такава криза: време с жертвите на природно бедствие (</w:t>
      </w:r>
      <w:proofErr w:type="spellStart"/>
      <w:r w:rsidRPr="007E1A4B">
        <w:rPr>
          <w:rFonts w:eastAsia="Times New Roman" w:cs="Times New Roman"/>
          <w:lang w:val="bg-BG"/>
        </w:rPr>
        <w:t>доброволчество</w:t>
      </w:r>
      <w:proofErr w:type="spellEnd"/>
      <w:r w:rsidRPr="007E1A4B">
        <w:rPr>
          <w:rFonts w:eastAsia="Times New Roman" w:cs="Times New Roman"/>
          <w:lang w:val="bg-BG"/>
        </w:rPr>
        <w:t xml:space="preserve"> и набиране на средства), какви материални ресурси могат да споделят (пари, храна, дрехи, одеяла) и какви умения могат да бъдат ценни (инженери, лекари, строители).</w:t>
      </w:r>
    </w:p>
    <w:p w:rsidR="007E1A4B" w:rsidRPr="007E1A4B" w:rsidRDefault="007E1A4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lang w:val="bg-BG"/>
        </w:rPr>
      </w:pPr>
      <w:r w:rsidRPr="007E1A4B">
        <w:rPr>
          <w:rFonts w:eastAsia="Times New Roman" w:cs="Times New Roman"/>
          <w:lang w:val="bg-BG"/>
        </w:rPr>
        <w:t>Ако имате време, обсъдете с учениците следните въпроси: Премиерът и правителството посрещат новината за природно бедствие</w:t>
      </w:r>
      <w:r w:rsidR="00540F0B">
        <w:rPr>
          <w:rFonts w:eastAsia="Times New Roman" w:cs="Times New Roman"/>
          <w:lang w:val="bg-BG"/>
        </w:rPr>
        <w:t>.</w:t>
      </w:r>
      <w:r w:rsidRPr="007E1A4B">
        <w:rPr>
          <w:rFonts w:eastAsia="Times New Roman" w:cs="Times New Roman"/>
          <w:lang w:val="bg-BG"/>
        </w:rPr>
        <w:t xml:space="preserve"> Каква помощ правителството обещава на </w:t>
      </w:r>
      <w:r w:rsidR="00540F0B">
        <w:rPr>
          <w:rFonts w:eastAsia="Times New Roman" w:cs="Times New Roman"/>
          <w:lang w:val="bg-BG"/>
        </w:rPr>
        <w:t>пострадалите</w:t>
      </w:r>
      <w:r w:rsidRPr="007E1A4B">
        <w:rPr>
          <w:rFonts w:eastAsia="Times New Roman" w:cs="Times New Roman"/>
          <w:lang w:val="bg-BG"/>
        </w:rPr>
        <w:t>? Обсъдете как това е свързано с филантропията. По какъв начин отделните лица се включват, за да оказват помощ и защо? Различни нестопански организации активно ще действат в района на бедствието, обсъдете какви ресурси и средства предлагат те. Откъде идват техните пари за такава дейност? Стопанските организации ще допринесат с пари и други ресурси. Каква е възможната мотивация за тях да даряват?</w:t>
      </w:r>
    </w:p>
    <w:p w:rsidR="007E1A4B" w:rsidRPr="007E1A4B" w:rsidRDefault="00540F0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lastRenderedPageBreak/>
        <w:t>Провокирайте дискусия</w:t>
      </w:r>
      <w:r w:rsidR="007E1A4B" w:rsidRPr="007E1A4B">
        <w:rPr>
          <w:rFonts w:eastAsia="Times New Roman" w:cs="Times New Roman"/>
          <w:lang w:val="bg-BG"/>
        </w:rPr>
        <w:t xml:space="preserve"> за това как учениците мислят, че могат да окажат помощ в ситуация на бедствие или криза? </w:t>
      </w:r>
    </w:p>
    <w:p w:rsidR="007E1A4B" w:rsidRPr="007E1A4B" w:rsidRDefault="007E1A4B" w:rsidP="007E1A4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lang w:val="bg-BG"/>
        </w:rPr>
      </w:pPr>
      <w:r w:rsidRPr="007E1A4B">
        <w:rPr>
          <w:rFonts w:eastAsia="Times New Roman" w:cs="Times New Roman"/>
          <w:lang w:val="bg-BG"/>
        </w:rPr>
        <w:t xml:space="preserve">Насърчете учениците да потърсят и опишат ситуации на бедствие в града, региона или страната и да опишат кой каква реакция е имал, кой как се е включил и каква е била развръзката. Можете да го дадете като индивидуална задача, а може и да разделите учениците на групи и да им дадете заданието групово. Ако имате желание и време, можете да насърчите учениците да направят проучването си и в допълнение с това да се свържат с някои от организациите, които са били ангажирани и да интервюират техни представители, за да съберат повече информация и да дадат отговори на въпросите, които сте им поставили. </w:t>
      </w:r>
    </w:p>
    <w:p w:rsidR="00867E33" w:rsidRPr="007E1A4B" w:rsidRDefault="007E1A4B" w:rsidP="007E1A4B">
      <w:pPr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7E1A4B">
        <w:rPr>
          <w:rFonts w:eastAsia="Times New Roman" w:cs="Times New Roman"/>
          <w:lang w:val="bg-BG"/>
        </w:rPr>
        <w:t>В следващ час, дайте възможност на учениците да представят проучванията си и ги обсъдете в час.</w:t>
      </w:r>
    </w:p>
    <w:p w:rsidR="002512AF" w:rsidRDefault="002512AF" w:rsidP="005A5025">
      <w:pPr>
        <w:jc w:val="both"/>
        <w:rPr>
          <w:lang w:val="ru-RU"/>
        </w:rPr>
      </w:pP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 w:rsidRPr="007E1A4B">
        <w:rPr>
          <w:rFonts w:cstheme="minorHAnsi"/>
          <w:b/>
          <w:lang w:val="bg-BG"/>
        </w:rPr>
        <w:t xml:space="preserve">Приложение 1 </w:t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 w:rsidRPr="007E1A4B">
        <w:rPr>
          <w:rFonts w:cstheme="minorHAnsi"/>
          <w:b/>
          <w:lang w:val="bg-BG"/>
        </w:rPr>
        <w:t xml:space="preserve">Секторите </w:t>
      </w:r>
      <w:r w:rsidR="00540F0B">
        <w:rPr>
          <w:rFonts w:cstheme="minorHAnsi"/>
          <w:b/>
          <w:lang w:val="bg-BG"/>
        </w:rPr>
        <w:t>в обществото</w:t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lang w:val="bg-BG"/>
        </w:rPr>
      </w:pP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3"/>
        <w:gridCol w:w="2963"/>
        <w:gridCol w:w="2994"/>
      </w:tblGrid>
      <w:tr w:rsidR="007E1A4B" w:rsidRPr="007E1A4B" w:rsidTr="00322A91">
        <w:tc>
          <w:tcPr>
            <w:tcW w:w="3086" w:type="dxa"/>
          </w:tcPr>
          <w:p w:rsidR="007E1A4B" w:rsidRPr="007E1A4B" w:rsidRDefault="007E1A4B" w:rsidP="00322A91">
            <w:pPr>
              <w:jc w:val="center"/>
              <w:rPr>
                <w:rFonts w:cstheme="minorHAnsi"/>
                <w:b/>
                <w:lang w:val="bg-BG"/>
              </w:rPr>
            </w:pPr>
            <w:r w:rsidRPr="007E1A4B">
              <w:rPr>
                <w:rFonts w:cstheme="minorHAnsi"/>
                <w:b/>
                <w:lang w:val="bg-BG"/>
              </w:rPr>
              <w:t>Стопански сектор</w:t>
            </w:r>
          </w:p>
        </w:tc>
        <w:tc>
          <w:tcPr>
            <w:tcW w:w="3042" w:type="dxa"/>
          </w:tcPr>
          <w:p w:rsidR="007E1A4B" w:rsidRPr="007E1A4B" w:rsidRDefault="007E1A4B" w:rsidP="00322A91">
            <w:pPr>
              <w:jc w:val="center"/>
              <w:rPr>
                <w:rFonts w:cstheme="minorHAnsi"/>
                <w:b/>
                <w:lang w:val="bg-BG"/>
              </w:rPr>
            </w:pPr>
            <w:r w:rsidRPr="007E1A4B">
              <w:rPr>
                <w:rFonts w:cstheme="minorHAnsi"/>
                <w:b/>
                <w:lang w:val="bg-BG"/>
              </w:rPr>
              <w:t>Държавен сектор</w:t>
            </w:r>
          </w:p>
        </w:tc>
        <w:tc>
          <w:tcPr>
            <w:tcW w:w="3088" w:type="dxa"/>
          </w:tcPr>
          <w:p w:rsidR="007E1A4B" w:rsidRPr="007E1A4B" w:rsidRDefault="007E1A4B" w:rsidP="00322A91">
            <w:pPr>
              <w:jc w:val="center"/>
              <w:rPr>
                <w:rFonts w:cstheme="minorHAnsi"/>
                <w:b/>
                <w:lang w:val="bg-BG"/>
              </w:rPr>
            </w:pPr>
            <w:r w:rsidRPr="007E1A4B">
              <w:rPr>
                <w:rFonts w:cstheme="minorHAnsi"/>
                <w:b/>
                <w:lang w:val="bg-BG"/>
              </w:rPr>
              <w:t>Нестопански сектор</w:t>
            </w:r>
          </w:p>
          <w:p w:rsidR="007E1A4B" w:rsidRPr="007E1A4B" w:rsidRDefault="007E1A4B" w:rsidP="00322A91">
            <w:pPr>
              <w:jc w:val="center"/>
              <w:rPr>
                <w:rFonts w:cstheme="minorHAnsi"/>
                <w:b/>
                <w:lang w:val="bg-BG"/>
              </w:rPr>
            </w:pPr>
          </w:p>
        </w:tc>
      </w:tr>
      <w:tr w:rsidR="007E1A4B" w:rsidRPr="007E1A4B" w:rsidTr="00322A91">
        <w:tc>
          <w:tcPr>
            <w:tcW w:w="3086" w:type="dxa"/>
          </w:tcPr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t>Съществува, за да реализира печалба.</w:t>
            </w:r>
          </w:p>
        </w:tc>
        <w:tc>
          <w:tcPr>
            <w:tcW w:w="3042" w:type="dxa"/>
          </w:tcPr>
          <w:p w:rsidR="007E1A4B" w:rsidRPr="007E1A4B" w:rsidRDefault="007E1A4B" w:rsidP="00540F0B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t xml:space="preserve">Съществува, за да предоставя публични стоки и услуги, които отговарят на потребностите или очакванията на </w:t>
            </w:r>
            <w:r w:rsidR="00540F0B">
              <w:rPr>
                <w:rFonts w:cstheme="minorHAnsi"/>
                <w:lang w:val="bg-BG"/>
              </w:rPr>
              <w:t>населението</w:t>
            </w:r>
            <w:r w:rsidRPr="007E1A4B">
              <w:rPr>
                <w:rFonts w:cstheme="minorHAnsi"/>
                <w:lang w:val="bg-BG"/>
              </w:rPr>
              <w:t xml:space="preserve"> като например пощенска служба и национална отбрана. </w:t>
            </w:r>
          </w:p>
        </w:tc>
        <w:tc>
          <w:tcPr>
            <w:tcW w:w="3088" w:type="dxa"/>
          </w:tcPr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t>Съществува, за да посрещне потребностите, които стопанският и публичният сектор не могат да или не посрещнат. Често пъти е катализатор на социална промяна.</w:t>
            </w:r>
          </w:p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</w:p>
        </w:tc>
      </w:tr>
      <w:tr w:rsidR="007E1A4B" w:rsidRPr="007E1A4B" w:rsidTr="00322A91">
        <w:tc>
          <w:tcPr>
            <w:tcW w:w="3086" w:type="dxa"/>
          </w:tcPr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t>Предоставя стоки или услуги, свързани с търсенето и печалбата.</w:t>
            </w:r>
          </w:p>
        </w:tc>
        <w:tc>
          <w:tcPr>
            <w:tcW w:w="3042" w:type="dxa"/>
          </w:tcPr>
          <w:p w:rsidR="007E1A4B" w:rsidRPr="007E1A4B" w:rsidRDefault="00540F0B" w:rsidP="00322A91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 xml:space="preserve">Може да регулира работата </w:t>
            </w:r>
            <w:r w:rsidR="007E1A4B" w:rsidRPr="007E1A4B">
              <w:rPr>
                <w:rFonts w:cstheme="minorHAnsi"/>
                <w:lang w:val="bg-BG"/>
              </w:rPr>
              <w:t>на стопанския сектор, например телефонните услуги.</w:t>
            </w:r>
          </w:p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</w:p>
        </w:tc>
        <w:tc>
          <w:tcPr>
            <w:tcW w:w="3088" w:type="dxa"/>
          </w:tcPr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t>Може да предоставя стоки и услуги, свързани с потребност.</w:t>
            </w:r>
          </w:p>
        </w:tc>
      </w:tr>
      <w:tr w:rsidR="007E1A4B" w:rsidRPr="007E1A4B" w:rsidTr="00322A91">
        <w:tc>
          <w:tcPr>
            <w:tcW w:w="3086" w:type="dxa"/>
          </w:tcPr>
          <w:p w:rsidR="007E1A4B" w:rsidRPr="007E1A4B" w:rsidRDefault="00540F0B" w:rsidP="008E2A70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Приходите</w:t>
            </w:r>
            <w:r w:rsidR="008E2A70">
              <w:rPr>
                <w:rFonts w:cstheme="minorHAnsi"/>
                <w:lang w:val="bg-BG"/>
              </w:rPr>
              <w:t>/печалбата</w:t>
            </w:r>
            <w:r w:rsidR="007E1A4B" w:rsidRPr="007E1A4B">
              <w:rPr>
                <w:rFonts w:cstheme="minorHAnsi"/>
                <w:lang w:val="bg-BG"/>
              </w:rPr>
              <w:t xml:space="preserve"> завис</w:t>
            </w:r>
            <w:r w:rsidR="008E2A70">
              <w:rPr>
                <w:rFonts w:cstheme="minorHAnsi"/>
                <w:lang w:val="bg-BG"/>
              </w:rPr>
              <w:t>ят</w:t>
            </w:r>
            <w:r w:rsidR="007E1A4B" w:rsidRPr="007E1A4B">
              <w:rPr>
                <w:rFonts w:cstheme="minorHAnsi"/>
                <w:lang w:val="bg-BG"/>
              </w:rPr>
              <w:t xml:space="preserve"> от избора да се закупи стока или услуга. </w:t>
            </w:r>
          </w:p>
        </w:tc>
        <w:tc>
          <w:tcPr>
            <w:tcW w:w="3042" w:type="dxa"/>
          </w:tcPr>
          <w:p w:rsidR="007E1A4B" w:rsidRPr="007E1A4B" w:rsidRDefault="008E2A70" w:rsidP="00322A91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Създава и прилага правила посредством закони, които дават права на и задължават гражданите</w:t>
            </w:r>
            <w:r w:rsidR="007E1A4B" w:rsidRPr="007E1A4B">
              <w:rPr>
                <w:rFonts w:cstheme="minorHAnsi"/>
                <w:lang w:val="bg-BG"/>
              </w:rPr>
              <w:t>. Държавният сектор може да ви обложи с данъци или да ви накара да си закупите лиценз</w:t>
            </w:r>
            <w:r>
              <w:rPr>
                <w:rFonts w:cstheme="minorHAnsi"/>
                <w:lang w:val="bg-BG"/>
              </w:rPr>
              <w:t xml:space="preserve"> за осъществяване на конкретна дейност</w:t>
            </w:r>
            <w:r w:rsidR="007E1A4B" w:rsidRPr="007E1A4B">
              <w:rPr>
                <w:rFonts w:cstheme="minorHAnsi"/>
                <w:lang w:val="bg-BG"/>
              </w:rPr>
              <w:t>.</w:t>
            </w:r>
          </w:p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</w:p>
        </w:tc>
        <w:tc>
          <w:tcPr>
            <w:tcW w:w="3088" w:type="dxa"/>
          </w:tcPr>
          <w:p w:rsidR="008E2A70" w:rsidRPr="007E1A4B" w:rsidRDefault="008E2A70" w:rsidP="008E2A70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 xml:space="preserve">Организациите предоставят услуги за подобряване качеството на живот. </w:t>
            </w:r>
          </w:p>
        </w:tc>
      </w:tr>
      <w:tr w:rsidR="007E1A4B" w:rsidRPr="007E1A4B" w:rsidTr="00322A91">
        <w:tc>
          <w:tcPr>
            <w:tcW w:w="3086" w:type="dxa"/>
          </w:tcPr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lastRenderedPageBreak/>
              <w:t>Печалбата се разпределя сред собствениците или акционерите на компанията за лична облага.</w:t>
            </w:r>
          </w:p>
        </w:tc>
        <w:tc>
          <w:tcPr>
            <w:tcW w:w="3042" w:type="dxa"/>
          </w:tcPr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t xml:space="preserve">Представителите могат да обещаят да предоставят услуги, за да спечелят изборите. </w:t>
            </w:r>
          </w:p>
        </w:tc>
        <w:tc>
          <w:tcPr>
            <w:tcW w:w="3088" w:type="dxa"/>
          </w:tcPr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  <w:r w:rsidRPr="007E1A4B">
              <w:rPr>
                <w:rFonts w:cstheme="minorHAnsi"/>
                <w:lang w:val="bg-BG"/>
              </w:rPr>
              <w:t>Печалбата не се използва за лична облага на нито едно от лицата, свързани с организацията. Печалбата се инвестира в продължаване на каузата на организацията.</w:t>
            </w:r>
          </w:p>
          <w:p w:rsidR="007E1A4B" w:rsidRPr="007E1A4B" w:rsidRDefault="007E1A4B" w:rsidP="00322A91">
            <w:pPr>
              <w:rPr>
                <w:rFonts w:cstheme="minorHAnsi"/>
                <w:lang w:val="bg-BG"/>
              </w:rPr>
            </w:pPr>
          </w:p>
        </w:tc>
      </w:tr>
    </w:tbl>
    <w:p w:rsidR="007E1A4B" w:rsidRPr="007E1A4B" w:rsidRDefault="007E1A4B" w:rsidP="007E1A4B">
      <w:pPr>
        <w:spacing w:after="0"/>
        <w:jc w:val="both"/>
        <w:rPr>
          <w:rFonts w:cstheme="minorHAnsi"/>
          <w:lang w:val="bg-BG"/>
        </w:rPr>
      </w:pPr>
    </w:p>
    <w:p w:rsidR="007E1A4B" w:rsidRPr="007E1A4B" w:rsidRDefault="007E1A4B" w:rsidP="007E1A4B">
      <w:pPr>
        <w:rPr>
          <w:rFonts w:cstheme="minorHAnsi"/>
          <w:lang w:val="bg-BG"/>
        </w:rPr>
      </w:pPr>
      <w:r w:rsidRPr="007E1A4B">
        <w:rPr>
          <w:rFonts w:cstheme="minorHAnsi"/>
          <w:lang w:val="bg-BG"/>
        </w:rPr>
        <w:br w:type="page"/>
      </w:r>
    </w:p>
    <w:p w:rsidR="007E1A4B" w:rsidRPr="007E1A4B" w:rsidRDefault="007E1A4B" w:rsidP="007E1A4B">
      <w:pPr>
        <w:spacing w:after="0"/>
        <w:jc w:val="both"/>
        <w:rPr>
          <w:rFonts w:cstheme="minorHAnsi"/>
          <w:lang w:val="bg-BG"/>
        </w:rPr>
      </w:pPr>
    </w:p>
    <w:p w:rsidR="008E2A70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 w:rsidRPr="007E1A4B">
        <w:rPr>
          <w:rFonts w:cstheme="minorHAnsi"/>
          <w:b/>
          <w:lang w:val="bg-BG"/>
        </w:rPr>
        <w:t>Приложение 2</w:t>
      </w:r>
    </w:p>
    <w:p w:rsidR="008E2A70" w:rsidRDefault="008E2A70" w:rsidP="007E1A4B">
      <w:pPr>
        <w:spacing w:after="0"/>
        <w:ind w:left="360"/>
        <w:jc w:val="both"/>
        <w:rPr>
          <w:rFonts w:cstheme="minorHAnsi"/>
          <w:b/>
          <w:lang w:val="bg-BG"/>
        </w:rPr>
      </w:pP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bookmarkStart w:id="0" w:name="_GoBack"/>
      <w:bookmarkEnd w:id="0"/>
      <w:r w:rsidRPr="007E1A4B">
        <w:rPr>
          <w:rFonts w:cstheme="minorHAnsi"/>
          <w:b/>
          <w:lang w:val="bg-BG"/>
        </w:rPr>
        <w:t>Схема на четирите сектора</w:t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7"/>
        <w:gridCol w:w="2227"/>
        <w:gridCol w:w="2263"/>
        <w:gridCol w:w="2273"/>
      </w:tblGrid>
      <w:tr w:rsidR="007E1A4B" w:rsidRPr="007E1A4B" w:rsidTr="00322A91"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b/>
                <w:lang w:val="bg-BG"/>
              </w:rPr>
            </w:pPr>
            <w:r w:rsidRPr="007E1A4B">
              <w:rPr>
                <w:rFonts w:cstheme="minorHAnsi"/>
                <w:b/>
                <w:lang w:val="bg-BG"/>
              </w:rPr>
              <w:t>(Държавен)</w:t>
            </w:r>
          </w:p>
        </w:tc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b/>
                <w:lang w:val="bg-BG"/>
              </w:rPr>
            </w:pPr>
            <w:r w:rsidRPr="007E1A4B">
              <w:rPr>
                <w:rFonts w:cstheme="minorHAnsi"/>
                <w:b/>
                <w:lang w:val="bg-BG"/>
              </w:rPr>
              <w:t>(Стопански)</w:t>
            </w:r>
          </w:p>
        </w:tc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b/>
                <w:lang w:val="bg-BG"/>
              </w:rPr>
            </w:pPr>
            <w:r w:rsidRPr="007E1A4B">
              <w:rPr>
                <w:rFonts w:cstheme="minorHAnsi"/>
                <w:b/>
                <w:lang w:val="bg-BG"/>
              </w:rPr>
              <w:t>(Нестопански)</w:t>
            </w:r>
          </w:p>
        </w:tc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b/>
                <w:lang w:val="bg-BG"/>
              </w:rPr>
            </w:pPr>
            <w:r w:rsidRPr="007E1A4B">
              <w:rPr>
                <w:rFonts w:cstheme="minorHAnsi"/>
                <w:b/>
                <w:lang w:val="bg-BG"/>
              </w:rPr>
              <w:t>(Домакинства)</w:t>
            </w:r>
          </w:p>
        </w:tc>
      </w:tr>
      <w:tr w:rsidR="007E1A4B" w:rsidRPr="007E1A4B" w:rsidTr="00322A91"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2394" w:type="dxa"/>
          </w:tcPr>
          <w:p w:rsidR="007E1A4B" w:rsidRPr="007E1A4B" w:rsidRDefault="007E1A4B" w:rsidP="00322A91">
            <w:pPr>
              <w:jc w:val="both"/>
              <w:rPr>
                <w:rFonts w:cstheme="minorHAnsi"/>
                <w:lang w:val="bg-BG"/>
              </w:rPr>
            </w:pPr>
          </w:p>
        </w:tc>
      </w:tr>
    </w:tbl>
    <w:p w:rsidR="007E1A4B" w:rsidRPr="007E1A4B" w:rsidRDefault="007E1A4B" w:rsidP="007E1A4B">
      <w:pPr>
        <w:spacing w:after="0"/>
        <w:ind w:left="360"/>
        <w:jc w:val="both"/>
        <w:rPr>
          <w:rFonts w:cstheme="minorHAnsi"/>
          <w:lang w:val="bg-BG"/>
        </w:rPr>
      </w:pPr>
    </w:p>
    <w:p w:rsidR="007E1A4B" w:rsidRPr="002512AF" w:rsidRDefault="007E1A4B" w:rsidP="005A5025">
      <w:pPr>
        <w:jc w:val="both"/>
        <w:rPr>
          <w:lang w:val="ru-RU"/>
        </w:rPr>
      </w:pPr>
    </w:p>
    <w:sectPr w:rsidR="007E1A4B" w:rsidRPr="002512AF" w:rsidSect="00A80696">
      <w:headerReference w:type="default" r:id="rId12"/>
      <w:footerReference w:type="default" r:id="rId13"/>
      <w:footerReference w:type="first" r:id="rId14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9A" w:rsidRDefault="00A9549A" w:rsidP="00530B3A">
      <w:pPr>
        <w:spacing w:after="0" w:line="240" w:lineRule="auto"/>
      </w:pPr>
      <w:r>
        <w:separator/>
      </w:r>
    </w:p>
  </w:endnote>
  <w:endnote w:type="continuationSeparator" w:id="0">
    <w:p w:rsidR="00A9549A" w:rsidRDefault="00A9549A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829D0" wp14:editId="3A190766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D3DB10A" wp14:editId="72BDB66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C8614" wp14:editId="4280B1A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E2C9F19" wp14:editId="70E061D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9A" w:rsidRDefault="00A9549A" w:rsidP="00530B3A">
      <w:pPr>
        <w:spacing w:after="0" w:line="240" w:lineRule="auto"/>
      </w:pPr>
      <w:r>
        <w:separator/>
      </w:r>
    </w:p>
  </w:footnote>
  <w:footnote w:type="continuationSeparator" w:id="0">
    <w:p w:rsidR="00A9549A" w:rsidRDefault="00A9549A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8E2A70">
          <w:rPr>
            <w:i/>
            <w:noProof/>
          </w:rPr>
          <w:t>5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32E"/>
    <w:multiLevelType w:val="hybridMultilevel"/>
    <w:tmpl w:val="2B80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378"/>
    <w:multiLevelType w:val="multilevel"/>
    <w:tmpl w:val="09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53A03"/>
    <w:multiLevelType w:val="hybridMultilevel"/>
    <w:tmpl w:val="652C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62DAD"/>
    <w:multiLevelType w:val="hybridMultilevel"/>
    <w:tmpl w:val="10D294B8"/>
    <w:lvl w:ilvl="0" w:tplc="56F41EF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2271A"/>
    <w:multiLevelType w:val="multilevel"/>
    <w:tmpl w:val="9F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A"/>
    <w:rsid w:val="00016838"/>
    <w:rsid w:val="000210C5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D7554"/>
    <w:rsid w:val="001E1F12"/>
    <w:rsid w:val="001F0BDD"/>
    <w:rsid w:val="001F7168"/>
    <w:rsid w:val="00206D59"/>
    <w:rsid w:val="00216EF2"/>
    <w:rsid w:val="002512AF"/>
    <w:rsid w:val="002607D6"/>
    <w:rsid w:val="00272638"/>
    <w:rsid w:val="002730D2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A5C82"/>
    <w:rsid w:val="004A7097"/>
    <w:rsid w:val="004D4FDB"/>
    <w:rsid w:val="004D540C"/>
    <w:rsid w:val="00513C2B"/>
    <w:rsid w:val="005268F3"/>
    <w:rsid w:val="00530B3A"/>
    <w:rsid w:val="00540F0B"/>
    <w:rsid w:val="00541148"/>
    <w:rsid w:val="00561A6D"/>
    <w:rsid w:val="005655EB"/>
    <w:rsid w:val="005735AC"/>
    <w:rsid w:val="00585476"/>
    <w:rsid w:val="005A2094"/>
    <w:rsid w:val="005A5025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B2472"/>
    <w:rsid w:val="007C1E4A"/>
    <w:rsid w:val="007C1FDE"/>
    <w:rsid w:val="007D2320"/>
    <w:rsid w:val="007E1A4B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67E33"/>
    <w:rsid w:val="0087597C"/>
    <w:rsid w:val="00880071"/>
    <w:rsid w:val="008B4C89"/>
    <w:rsid w:val="008B4CF0"/>
    <w:rsid w:val="008E2A70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50966"/>
    <w:rsid w:val="00A77BE3"/>
    <w:rsid w:val="00A80696"/>
    <w:rsid w:val="00A9549A"/>
    <w:rsid w:val="00A96BA4"/>
    <w:rsid w:val="00AA5C3C"/>
    <w:rsid w:val="00AD1388"/>
    <w:rsid w:val="00B02D77"/>
    <w:rsid w:val="00B14F7A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2591"/>
    <w:rsid w:val="00D55BB5"/>
    <w:rsid w:val="00D66BC0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E1BF-56C5-4753-99E3-759946F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cross.bg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pbzn.mvr.bg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jarna.com/bg/sections/rabota_s_deca/obuchitelni_materiali/upravlenie_koordinaciq_i_kontrol_pri_bedstviq_pozhari_i_izvynredni_situaci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1609-9AEC-431B-8DD2-3ABD175B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Teodora Bakardzhieva</dc:creator>
  <cp:lastModifiedBy>Teodora Bakardzhieva</cp:lastModifiedBy>
  <cp:revision>3</cp:revision>
  <cp:lastPrinted>2016-06-29T11:34:00Z</cp:lastPrinted>
  <dcterms:created xsi:type="dcterms:W3CDTF">2016-12-30T07:44:00Z</dcterms:created>
  <dcterms:modified xsi:type="dcterms:W3CDTF">2016-12-30T08:20:00Z</dcterms:modified>
</cp:coreProperties>
</file>